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Times New Roman"/>
          <w:b/>
          <w:color w:val="000000"/>
          <w:sz w:val="72"/>
          <w:szCs w:val="72"/>
          <w:u w:val="single"/>
        </w:rPr>
      </w:pPr>
    </w:p>
    <w:p>
      <w:pPr>
        <w:jc w:val="center"/>
        <w:rPr>
          <w:rFonts w:hint="eastAsia" w:ascii="宋体" w:hAnsi="宋体" w:eastAsia="宋体" w:cs="Times New Roman"/>
          <w:b/>
          <w:color w:val="000000"/>
          <w:sz w:val="72"/>
          <w:szCs w:val="72"/>
          <w:u w:val="single"/>
        </w:rPr>
      </w:pPr>
    </w:p>
    <w:p>
      <w:pPr>
        <w:jc w:val="center"/>
        <w:rPr>
          <w:rFonts w:hint="eastAsia" w:ascii="宋体" w:hAnsi="宋体" w:eastAsia="宋体" w:cs="Times New Roman"/>
          <w:b/>
          <w:color w:val="000000"/>
          <w:sz w:val="72"/>
          <w:szCs w:val="72"/>
          <w:u w:val="single"/>
        </w:rPr>
      </w:pPr>
    </w:p>
    <w:p>
      <w:pPr>
        <w:jc w:val="center"/>
        <w:rPr>
          <w:rFonts w:hint="eastAsia" w:ascii="宋体" w:hAnsi="宋体" w:eastAsia="宋体" w:cs="Times New Roman"/>
          <w:b/>
          <w:color w:val="000000"/>
          <w:sz w:val="72"/>
          <w:szCs w:val="72"/>
          <w:u w:val="single"/>
        </w:rPr>
      </w:pPr>
    </w:p>
    <w:p>
      <w:pPr>
        <w:jc w:val="center"/>
        <w:rPr>
          <w:rFonts w:hint="eastAsia" w:ascii="宋体" w:hAnsi="宋体" w:eastAsia="宋体" w:cs="Times New Roman"/>
          <w:b/>
          <w:color w:val="000000"/>
          <w:sz w:val="72"/>
          <w:szCs w:val="72"/>
          <w:u w:val="single"/>
        </w:rPr>
      </w:pPr>
    </w:p>
    <w:p>
      <w:pPr>
        <w:jc w:val="center"/>
        <w:rPr>
          <w:rFonts w:hint="eastAsia" w:ascii="宋体" w:hAnsi="宋体" w:eastAsia="宋体" w:cs="Times New Roman"/>
          <w:b/>
          <w:color w:val="000000"/>
          <w:sz w:val="72"/>
          <w:szCs w:val="72"/>
          <w:u w:val="single"/>
        </w:rPr>
      </w:pPr>
    </w:p>
    <w:p>
      <w:pPr>
        <w:jc w:val="center"/>
        <w:rPr>
          <w:rFonts w:hint="eastAsia" w:ascii="宋体" w:hAnsi="宋体" w:eastAsia="宋体" w:cs="Times New Roman"/>
          <w:b/>
          <w:color w:val="000000"/>
          <w:sz w:val="72"/>
          <w:szCs w:val="72"/>
          <w:u w:val="single"/>
        </w:rPr>
      </w:pPr>
      <w:r>
        <w:rPr>
          <w:rFonts w:hint="eastAsia" w:ascii="宋体" w:hAnsi="宋体" w:eastAsia="宋体" w:cs="Times New Roman"/>
          <w:b/>
          <w:color w:val="000000"/>
          <w:sz w:val="72"/>
          <w:szCs w:val="72"/>
          <w:u w:val="single"/>
        </w:rPr>
        <w:t>广东省</w:t>
      </w:r>
      <w:r>
        <w:rPr>
          <w:rFonts w:hint="eastAsia" w:ascii="宋体" w:hAnsi="宋体" w:cs="Times New Roman"/>
          <w:b/>
          <w:color w:val="000000"/>
          <w:sz w:val="72"/>
          <w:szCs w:val="72"/>
          <w:u w:val="single"/>
          <w:lang w:val="en-US" w:eastAsia="zh-CN"/>
        </w:rPr>
        <w:t>YPADR</w:t>
      </w:r>
      <w:bookmarkStart w:id="0" w:name="_GoBack"/>
      <w:bookmarkEnd w:id="0"/>
      <w:r>
        <w:rPr>
          <w:rFonts w:hint="eastAsia" w:ascii="宋体" w:hAnsi="宋体" w:eastAsia="宋体" w:cs="Times New Roman"/>
          <w:b/>
          <w:color w:val="000000"/>
          <w:sz w:val="72"/>
          <w:szCs w:val="72"/>
          <w:u w:val="single"/>
        </w:rPr>
        <w:t>历史数据标准化</w:t>
      </w:r>
    </w:p>
    <w:p>
      <w:pPr>
        <w:jc w:val="center"/>
        <w:rPr>
          <w:rFonts w:hint="eastAsia" w:ascii="宋体" w:hAnsi="宋体" w:eastAsia="宋体" w:cs="Times New Roman"/>
          <w:b/>
          <w:color w:val="000000"/>
          <w:sz w:val="72"/>
          <w:szCs w:val="72"/>
          <w:u w:val="single"/>
          <w:lang w:val="en-US" w:eastAsia="zh-CN"/>
        </w:rPr>
      </w:pPr>
      <w:r>
        <w:rPr>
          <w:rFonts w:hint="eastAsia" w:ascii="宋体" w:hAnsi="宋体" w:cs="Times New Roman"/>
          <w:b/>
          <w:color w:val="000000"/>
          <w:sz w:val="72"/>
          <w:szCs w:val="72"/>
          <w:u w:val="single"/>
          <w:lang w:val="en-US" w:eastAsia="zh-CN"/>
        </w:rPr>
        <w:t>技术要求</w:t>
      </w:r>
      <w:r>
        <w:rPr>
          <w:rFonts w:hint="eastAsia" w:ascii="宋体" w:hAnsi="宋体" w:eastAsia="宋体" w:cs="Times New Roman"/>
          <w:b/>
          <w:color w:val="000000"/>
          <w:sz w:val="72"/>
          <w:szCs w:val="72"/>
          <w:u w:val="single"/>
          <w:lang w:val="en-US" w:eastAsia="zh-CN"/>
        </w:rPr>
        <w:br w:type="page"/>
      </w:r>
    </w:p>
    <w:p>
      <w:pPr>
        <w:pStyle w:val="3"/>
        <w:spacing w:before="240" w:after="240" w:line="480" w:lineRule="exact"/>
        <w:rPr>
          <w:rFonts w:hint="eastAsia" w:ascii="仿宋_GB2312" w:hAnsi="宋体" w:eastAsia="仿宋_GB2312" w:cs="Arial"/>
          <w:color w:val="000000"/>
          <w:sz w:val="28"/>
          <w:szCs w:val="28"/>
        </w:rPr>
      </w:pPr>
      <w:r>
        <w:rPr>
          <w:rFonts w:hint="eastAsia" w:ascii="仿宋_GB2312" w:hAnsi="宋体" w:eastAsia="仿宋_GB2312" w:cs="Arial"/>
          <w:color w:val="000000"/>
          <w:sz w:val="28"/>
          <w:szCs w:val="28"/>
        </w:rPr>
        <w:t>一、项目背景</w:t>
      </w:r>
    </w:p>
    <w:p>
      <w:pPr>
        <w:spacing w:line="480" w:lineRule="exact"/>
        <w:ind w:firstLine="560" w:firstLineChars="200"/>
        <w:rPr>
          <w:rFonts w:hint="eastAsia" w:ascii="仿宋_GB2312" w:eastAsia="仿宋_GB2312"/>
          <w:sz w:val="28"/>
          <w:szCs w:val="28"/>
        </w:rPr>
      </w:pPr>
      <w:r>
        <w:rPr>
          <w:rFonts w:hint="eastAsia" w:ascii="仿宋_GB2312" w:eastAsia="仿宋_GB2312"/>
          <w:sz w:val="28"/>
          <w:szCs w:val="28"/>
        </w:rPr>
        <w:t>NMPA加入ICH后，持有人接收系统逐步将与国际接轨，引入ICH E2B（R3）标准，该标准未来将支持全面收集来自临床试验、上市后、医疗机构报告、持有人报告的不良反应数据，支持MedDRA、ICD、IDMP等行业规范字典编码，支持对个例不良事件分析、综合报告分析提供安全、有效、经济的科学评价。通过系统平台进一步提高我国不良反应事件数据采集、数据管理、数据分析的技术水平。</w:t>
      </w:r>
    </w:p>
    <w:p>
      <w:pPr>
        <w:spacing w:line="48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rPr>
        <w:t>2010年后我省通过药品不良反应实时上报系统，</w:t>
      </w:r>
      <w:r>
        <w:rPr>
          <w:rFonts w:hint="eastAsia" w:ascii="仿宋_GB2312" w:eastAsia="仿宋_GB2312"/>
          <w:sz w:val="28"/>
          <w:szCs w:val="28"/>
          <w:lang w:val="en-US" w:eastAsia="zh-CN"/>
        </w:rPr>
        <w:t>至</w:t>
      </w:r>
      <w:r>
        <w:rPr>
          <w:rFonts w:hint="eastAsia" w:ascii="仿宋_GB2312" w:eastAsia="仿宋_GB2312"/>
          <w:sz w:val="28"/>
          <w:szCs w:val="28"/>
        </w:rPr>
        <w:t>20</w:t>
      </w:r>
      <w:r>
        <w:rPr>
          <w:rFonts w:hint="eastAsia" w:ascii="仿宋_GB2312" w:eastAsia="仿宋_GB2312"/>
          <w:sz w:val="28"/>
          <w:szCs w:val="28"/>
          <w:lang w:val="en-US" w:eastAsia="zh-CN"/>
        </w:rPr>
        <w:t>20</w:t>
      </w:r>
      <w:r>
        <w:rPr>
          <w:rFonts w:hint="eastAsia" w:ascii="仿宋_GB2312" w:eastAsia="仿宋_GB2312"/>
          <w:sz w:val="28"/>
          <w:szCs w:val="28"/>
        </w:rPr>
        <w:t>年</w:t>
      </w:r>
      <w:r>
        <w:rPr>
          <w:rFonts w:hint="eastAsia" w:ascii="仿宋_GB2312" w:eastAsia="仿宋_GB2312"/>
          <w:sz w:val="28"/>
          <w:szCs w:val="28"/>
          <w:lang w:val="en-US" w:eastAsia="zh-CN"/>
        </w:rPr>
        <w:t>已累计</w:t>
      </w:r>
      <w:r>
        <w:rPr>
          <w:rFonts w:hint="eastAsia" w:ascii="仿宋_GB2312" w:eastAsia="仿宋_GB2312"/>
          <w:sz w:val="28"/>
          <w:szCs w:val="28"/>
        </w:rPr>
        <w:t>收集药品不良反应报告达</w:t>
      </w:r>
      <w:r>
        <w:rPr>
          <w:rFonts w:hint="eastAsia" w:ascii="仿宋_GB2312" w:eastAsia="仿宋_GB2312"/>
          <w:sz w:val="28"/>
          <w:szCs w:val="28"/>
          <w:lang w:val="en-US" w:eastAsia="zh-CN"/>
        </w:rPr>
        <w:t>82</w:t>
      </w:r>
      <w:r>
        <w:rPr>
          <w:rFonts w:hint="eastAsia" w:ascii="仿宋_GB2312" w:eastAsia="仿宋_GB2312"/>
          <w:sz w:val="28"/>
          <w:szCs w:val="28"/>
        </w:rPr>
        <w:t>万份。对于海量的不良反应数据的利用，必须依靠信息化的手段进行处理、分析。而不良事件数据的标准化、规范化，是利用信息化技术进行数据统计、分析的基础，为及时掌握药品不良反应的临床安全性信息，发现用药风险，保障人民群众身体健康提供技术支持。</w:t>
      </w:r>
      <w:r>
        <w:rPr>
          <w:rFonts w:hint="eastAsia" w:ascii="仿宋_GB2312" w:eastAsia="仿宋_GB2312"/>
          <w:sz w:val="28"/>
          <w:szCs w:val="28"/>
          <w:lang w:val="en-US" w:eastAsia="zh-CN"/>
        </w:rPr>
        <w:tab/>
      </w:r>
    </w:p>
    <w:p>
      <w:pPr>
        <w:spacing w:line="48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省局于2019年规划建设了广东省药物警戒与风险管控平台，按国家最新发布的数据标准进行了平台建设。平台融合了省中心2010年以来历史数据与国家中心国家药品不良反应监测系统历史数据及最新标准新数据。在日常监测开展过程中，发现数据存在标准不统一、数据质量层次不齐等情况，</w:t>
      </w:r>
      <w:r>
        <w:rPr>
          <w:rFonts w:hint="eastAsia" w:ascii="仿宋_GB2312" w:eastAsia="仿宋_GB2312"/>
          <w:sz w:val="28"/>
          <w:szCs w:val="28"/>
        </w:rPr>
        <w:t>需要人工耗费大量时间和精力去重复查询相关标准。为进一步提升我省药品不良反应报告的数据利用能力，实现利用信息化手段更加快速、有效地挖掘药品风险，需开展药品不良反应的</w:t>
      </w:r>
      <w:r>
        <w:rPr>
          <w:rFonts w:hint="eastAsia" w:ascii="仿宋_GB2312" w:eastAsia="仿宋_GB2312"/>
          <w:sz w:val="28"/>
          <w:szCs w:val="28"/>
          <w:lang w:val="en-US" w:eastAsia="zh-CN"/>
        </w:rPr>
        <w:t>隶属</w:t>
      </w:r>
      <w:r>
        <w:rPr>
          <w:rFonts w:hint="eastAsia" w:ascii="仿宋_GB2312" w:eastAsia="仿宋_GB2312"/>
          <w:sz w:val="28"/>
          <w:szCs w:val="28"/>
        </w:rPr>
        <w:t>数据标准化工作</w:t>
      </w:r>
      <w:r>
        <w:rPr>
          <w:rFonts w:hint="eastAsia" w:ascii="仿宋_GB2312" w:eastAsia="仿宋_GB2312"/>
          <w:sz w:val="28"/>
          <w:szCs w:val="28"/>
          <w:lang w:eastAsia="zh-CN"/>
        </w:rPr>
        <w:t>。</w:t>
      </w:r>
    </w:p>
    <w:p>
      <w:pPr>
        <w:spacing w:line="48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根据委托双方就广东省药品不良反应监测报告历史数据标准化工作达成协议，为更好开展工作，现制定本方案。</w:t>
      </w:r>
    </w:p>
    <w:p>
      <w:pPr>
        <w:pStyle w:val="3"/>
        <w:numPr>
          <w:ilvl w:val="0"/>
          <w:numId w:val="1"/>
        </w:numPr>
        <w:spacing w:before="240" w:after="240" w:line="480" w:lineRule="exact"/>
        <w:rPr>
          <w:rFonts w:hint="eastAsia" w:ascii="仿宋_GB2312" w:hAnsi="宋体" w:eastAsia="仿宋_GB2312" w:cs="Arial"/>
          <w:color w:val="000000"/>
          <w:sz w:val="28"/>
          <w:szCs w:val="28"/>
        </w:rPr>
      </w:pPr>
      <w:r>
        <w:rPr>
          <w:rFonts w:hint="eastAsia" w:ascii="仿宋_GB2312" w:hAnsi="宋体" w:eastAsia="仿宋_GB2312" w:cs="Arial"/>
          <w:color w:val="000000"/>
          <w:sz w:val="28"/>
          <w:szCs w:val="28"/>
        </w:rPr>
        <w:t>项目的目标与任务</w:t>
      </w:r>
    </w:p>
    <w:p>
      <w:pPr>
        <w:spacing w:line="48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对广东省药品不良反应监测中心接收的报告数据进行标准化处理工作，包括：</w:t>
      </w:r>
    </w:p>
    <w:p>
      <w:pPr>
        <w:numPr>
          <w:ilvl w:val="0"/>
          <w:numId w:val="2"/>
        </w:numPr>
        <w:spacing w:line="480" w:lineRule="exact"/>
        <w:ind w:left="0" w:leftChars="0" w:firstLine="420" w:firstLineChars="0"/>
        <w:rPr>
          <w:rFonts w:hint="eastAsia" w:ascii="仿宋_GB2312" w:eastAsia="仿宋_GB2312"/>
          <w:sz w:val="28"/>
          <w:szCs w:val="28"/>
          <w:lang w:val="en-US" w:eastAsia="zh-CN"/>
        </w:rPr>
      </w:pPr>
      <w:r>
        <w:rPr>
          <w:rFonts w:hint="eastAsia" w:ascii="仿宋_GB2312" w:eastAsia="仿宋_GB2312"/>
          <w:sz w:val="28"/>
          <w:szCs w:val="28"/>
          <w:lang w:val="en-US" w:eastAsia="zh-CN"/>
        </w:rPr>
        <w:t>企业基本信息</w:t>
      </w:r>
    </w:p>
    <w:p>
      <w:pPr>
        <w:numPr>
          <w:ilvl w:val="0"/>
          <w:numId w:val="2"/>
        </w:numPr>
        <w:spacing w:line="480" w:lineRule="exact"/>
        <w:ind w:left="0" w:leftChars="0" w:firstLine="420" w:firstLineChars="0"/>
        <w:rPr>
          <w:rFonts w:hint="default" w:ascii="仿宋_GB2312" w:eastAsia="仿宋_GB2312"/>
          <w:sz w:val="28"/>
          <w:szCs w:val="28"/>
          <w:lang w:val="en-US" w:eastAsia="zh-CN"/>
        </w:rPr>
      </w:pPr>
      <w:r>
        <w:rPr>
          <w:rFonts w:hint="eastAsia" w:ascii="仿宋_GB2312" w:eastAsia="仿宋_GB2312"/>
          <w:sz w:val="28"/>
          <w:szCs w:val="28"/>
          <w:lang w:val="en-US" w:eastAsia="zh-CN"/>
        </w:rPr>
        <w:t>患者不良反应信息</w:t>
      </w:r>
    </w:p>
    <w:p>
      <w:pPr>
        <w:numPr>
          <w:ilvl w:val="0"/>
          <w:numId w:val="2"/>
        </w:numPr>
        <w:spacing w:line="480" w:lineRule="exact"/>
        <w:ind w:left="0" w:leftChars="0" w:firstLine="420" w:firstLineChars="0"/>
        <w:rPr>
          <w:rFonts w:hint="eastAsia" w:ascii="仿宋_GB2312" w:eastAsia="仿宋_GB2312"/>
          <w:sz w:val="28"/>
          <w:szCs w:val="28"/>
          <w:lang w:val="en-US" w:eastAsia="zh-CN"/>
        </w:rPr>
      </w:pPr>
      <w:r>
        <w:rPr>
          <w:rFonts w:hint="eastAsia" w:ascii="仿宋_GB2312" w:eastAsia="仿宋_GB2312"/>
          <w:sz w:val="28"/>
          <w:szCs w:val="28"/>
          <w:lang w:val="en-US" w:eastAsia="zh-CN"/>
        </w:rPr>
        <w:t>药品批文信息</w:t>
      </w:r>
    </w:p>
    <w:p>
      <w:pPr>
        <w:numPr>
          <w:ilvl w:val="0"/>
          <w:numId w:val="2"/>
        </w:numPr>
        <w:spacing w:line="480" w:lineRule="exact"/>
        <w:ind w:left="0" w:leftChars="0" w:firstLine="420" w:firstLineChars="0"/>
        <w:rPr>
          <w:rFonts w:hint="eastAsia" w:ascii="仿宋_GB2312" w:eastAsia="仿宋_GB2312"/>
          <w:sz w:val="28"/>
          <w:szCs w:val="28"/>
          <w:lang w:val="en-US" w:eastAsia="zh-CN"/>
        </w:rPr>
      </w:pPr>
      <w:r>
        <w:rPr>
          <w:rFonts w:hint="eastAsia" w:ascii="仿宋_GB2312" w:eastAsia="仿宋_GB2312"/>
          <w:sz w:val="28"/>
          <w:szCs w:val="28"/>
          <w:lang w:val="en-US" w:eastAsia="zh-CN"/>
        </w:rPr>
        <w:t>不良反应术语</w:t>
      </w:r>
    </w:p>
    <w:p>
      <w:pPr>
        <w:numPr>
          <w:ilvl w:val="0"/>
          <w:numId w:val="2"/>
        </w:numPr>
        <w:spacing w:line="480" w:lineRule="exact"/>
        <w:ind w:left="0" w:leftChars="0" w:firstLine="420" w:firstLineChars="0"/>
        <w:rPr>
          <w:rFonts w:hint="eastAsia" w:ascii="仿宋_GB2312" w:eastAsia="仿宋_GB2312"/>
          <w:sz w:val="28"/>
          <w:szCs w:val="28"/>
          <w:lang w:val="en-US" w:eastAsia="zh-CN"/>
        </w:rPr>
      </w:pPr>
      <w:r>
        <w:rPr>
          <w:rFonts w:hint="eastAsia" w:ascii="仿宋_GB2312" w:eastAsia="仿宋_GB2312"/>
          <w:sz w:val="28"/>
          <w:szCs w:val="28"/>
          <w:lang w:val="en-US" w:eastAsia="zh-CN"/>
        </w:rPr>
        <w:t>评价意见</w:t>
      </w:r>
    </w:p>
    <w:p>
      <w:pPr>
        <w:numPr>
          <w:ilvl w:val="0"/>
          <w:numId w:val="2"/>
        </w:numPr>
        <w:spacing w:line="480" w:lineRule="exact"/>
        <w:ind w:left="0" w:leftChars="0" w:firstLine="420" w:firstLineChars="0"/>
        <w:rPr>
          <w:rFonts w:hint="default" w:ascii="仿宋_GB2312" w:eastAsia="仿宋_GB2312"/>
          <w:sz w:val="28"/>
          <w:szCs w:val="28"/>
          <w:lang w:val="en-US" w:eastAsia="zh-CN"/>
        </w:rPr>
      </w:pPr>
      <w:r>
        <w:rPr>
          <w:rFonts w:hint="eastAsia" w:ascii="仿宋_GB2312" w:eastAsia="仿宋_GB2312"/>
          <w:sz w:val="28"/>
          <w:szCs w:val="28"/>
          <w:lang w:val="en-US" w:eastAsia="zh-CN"/>
        </w:rPr>
        <w:t>定期安全性报告</w:t>
      </w:r>
    </w:p>
    <w:p>
      <w:pPr>
        <w:spacing w:line="48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项目以期达到以下目标：</w:t>
      </w:r>
    </w:p>
    <w:p>
      <w:pPr>
        <w:spacing w:line="48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（一）所有历史数据按国家最新标准进行转换。</w:t>
      </w:r>
    </w:p>
    <w:p>
      <w:pPr>
        <w:spacing w:line="48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（二）提高数据的规范性和标准性。</w:t>
      </w:r>
    </w:p>
    <w:p>
      <w:pPr>
        <w:spacing w:line="48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（三）提高数据的统计分析准确性。</w:t>
      </w:r>
    </w:p>
    <w:p>
      <w:pPr>
        <w:spacing w:line="48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（四）提高药品不良反应监测系统预警信号出现的时效性与准确性。</w:t>
      </w:r>
    </w:p>
    <w:p>
      <w:pPr>
        <w:spacing w:line="480" w:lineRule="exact"/>
        <w:ind w:firstLine="560" w:firstLineChars="200"/>
        <w:rPr>
          <w:rFonts w:hint="default" w:ascii="仿宋_GB2312" w:eastAsia="仿宋_GB2312"/>
          <w:sz w:val="28"/>
          <w:szCs w:val="28"/>
          <w:lang w:val="en-US" w:eastAsia="zh-CN"/>
        </w:rPr>
      </w:pPr>
      <w:r>
        <w:rPr>
          <w:rFonts w:hint="eastAsia" w:ascii="仿宋_GB2312" w:eastAsia="仿宋_GB2312"/>
          <w:sz w:val="28"/>
          <w:szCs w:val="28"/>
          <w:lang w:val="en-US" w:eastAsia="zh-CN"/>
        </w:rPr>
        <w:t>（五）保障增量数据接入标准一致性</w:t>
      </w:r>
    </w:p>
    <w:p>
      <w:pPr>
        <w:pStyle w:val="3"/>
        <w:numPr>
          <w:ilvl w:val="0"/>
          <w:numId w:val="1"/>
        </w:numPr>
        <w:spacing w:before="240" w:after="240" w:line="480" w:lineRule="exact"/>
        <w:rPr>
          <w:rFonts w:hint="eastAsia" w:ascii="仿宋_GB2312" w:hAnsi="宋体" w:eastAsia="仿宋_GB2312" w:cs="Arial"/>
          <w:color w:val="000000"/>
          <w:sz w:val="28"/>
          <w:szCs w:val="28"/>
        </w:rPr>
      </w:pPr>
      <w:r>
        <w:rPr>
          <w:rFonts w:hint="eastAsia" w:ascii="仿宋_GB2312" w:hAnsi="宋体" w:eastAsia="仿宋_GB2312" w:cs="Arial"/>
          <w:color w:val="000000"/>
          <w:sz w:val="28"/>
          <w:szCs w:val="28"/>
        </w:rPr>
        <w:t>项目</w:t>
      </w:r>
      <w:r>
        <w:rPr>
          <w:rFonts w:hint="eastAsia" w:ascii="仿宋_GB2312" w:hAnsi="宋体" w:eastAsia="仿宋_GB2312" w:cs="Arial"/>
          <w:color w:val="000000"/>
          <w:sz w:val="28"/>
          <w:szCs w:val="28"/>
          <w:lang w:val="en-US" w:eastAsia="zh-CN"/>
        </w:rPr>
        <w:t>进度</w:t>
      </w:r>
    </w:p>
    <w:p>
      <w:pPr>
        <w:spacing w:line="48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项目从2021年3月份启动，按照项目进度预计2021年12月份结题，项目预期时间9个月。</w:t>
      </w:r>
    </w:p>
    <w:p>
      <w:pPr>
        <w:spacing w:line="48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第一阶段(2021年3月-6月)：完成广东省历史数据标准化处理。</w:t>
      </w:r>
    </w:p>
    <w:p>
      <w:pPr>
        <w:spacing w:line="48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第二阶段(2021年7月-10月)：完成国家中心反馈数据、国家药品不良反应监测系统中下行至广东省的历史数据标准化处理。</w:t>
      </w:r>
    </w:p>
    <w:p>
      <w:pPr>
        <w:spacing w:line="480" w:lineRule="exact"/>
        <w:ind w:firstLine="560" w:firstLineChars="200"/>
        <w:rPr>
          <w:rFonts w:hint="eastAsia" w:ascii="仿宋_GB2312" w:eastAsia="仿宋_GB2312"/>
          <w:sz w:val="28"/>
          <w:szCs w:val="28"/>
          <w:lang w:val="en-US" w:eastAsia="zh-CN"/>
        </w:rPr>
      </w:pPr>
      <w:r>
        <w:rPr>
          <w:rFonts w:hint="eastAsia" w:ascii="仿宋_GB2312" w:eastAsia="仿宋_GB2312"/>
          <w:sz w:val="28"/>
          <w:szCs w:val="28"/>
          <w:lang w:val="en-US" w:eastAsia="zh-CN"/>
        </w:rPr>
        <w:t>第三阶段(2021年11月-12月)：对未规整及规整有问题的数据进行回顾与查漏，对整年有待商议的未规整数据进行商讨规整，确保数据的准确性与完整性。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30850C"/>
    <w:multiLevelType w:val="singleLevel"/>
    <w:tmpl w:val="D030850C"/>
    <w:lvl w:ilvl="0" w:tentative="0">
      <w:start w:val="2"/>
      <w:numFmt w:val="chineseCounting"/>
      <w:suff w:val="nothing"/>
      <w:lvlText w:val="%1、"/>
      <w:lvlJc w:val="left"/>
      <w:rPr>
        <w:rFonts w:hint="eastAsia"/>
      </w:rPr>
    </w:lvl>
  </w:abstractNum>
  <w:abstractNum w:abstractNumId="1">
    <w:nsid w:val="37523AD3"/>
    <w:multiLevelType w:val="singleLevel"/>
    <w:tmpl w:val="37523AD3"/>
    <w:lvl w:ilvl="0" w:tentative="0">
      <w:start w:val="1"/>
      <w:numFmt w:val="chineseCounting"/>
      <w:suff w:val="nothing"/>
      <w:lvlText w:val="（%1）"/>
      <w:lvlJc w:val="left"/>
      <w:pPr>
        <w:ind w:left="0" w:firstLine="4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414548"/>
    <w:rsid w:val="03B84516"/>
    <w:rsid w:val="06375796"/>
    <w:rsid w:val="06A27AAD"/>
    <w:rsid w:val="07F84AE5"/>
    <w:rsid w:val="081C394E"/>
    <w:rsid w:val="09E2292D"/>
    <w:rsid w:val="0C06048F"/>
    <w:rsid w:val="0C4F291C"/>
    <w:rsid w:val="0CF7319E"/>
    <w:rsid w:val="0D007787"/>
    <w:rsid w:val="0E957052"/>
    <w:rsid w:val="0EA43177"/>
    <w:rsid w:val="10280DBE"/>
    <w:rsid w:val="103B7E38"/>
    <w:rsid w:val="197E7BDE"/>
    <w:rsid w:val="198F697B"/>
    <w:rsid w:val="1D5813F2"/>
    <w:rsid w:val="1DAC0BE8"/>
    <w:rsid w:val="1EEE04C9"/>
    <w:rsid w:val="21720D52"/>
    <w:rsid w:val="21FC09D2"/>
    <w:rsid w:val="23217636"/>
    <w:rsid w:val="23A92597"/>
    <w:rsid w:val="23EA71FF"/>
    <w:rsid w:val="26382A3B"/>
    <w:rsid w:val="268066E9"/>
    <w:rsid w:val="27306C0C"/>
    <w:rsid w:val="290361C7"/>
    <w:rsid w:val="298C4D6B"/>
    <w:rsid w:val="2AAF5815"/>
    <w:rsid w:val="2BA8205F"/>
    <w:rsid w:val="2CFB73D0"/>
    <w:rsid w:val="2D364F7E"/>
    <w:rsid w:val="2F14095E"/>
    <w:rsid w:val="30BF0EA4"/>
    <w:rsid w:val="33172722"/>
    <w:rsid w:val="37414548"/>
    <w:rsid w:val="38C27EA7"/>
    <w:rsid w:val="38F26987"/>
    <w:rsid w:val="39DE59B3"/>
    <w:rsid w:val="39E92765"/>
    <w:rsid w:val="3B167807"/>
    <w:rsid w:val="3BD9237C"/>
    <w:rsid w:val="3D0C6059"/>
    <w:rsid w:val="3F3F752A"/>
    <w:rsid w:val="3F701C62"/>
    <w:rsid w:val="42855F1E"/>
    <w:rsid w:val="42DD7DD1"/>
    <w:rsid w:val="43F31EDB"/>
    <w:rsid w:val="46A427A5"/>
    <w:rsid w:val="4E747884"/>
    <w:rsid w:val="50C8016E"/>
    <w:rsid w:val="523749F2"/>
    <w:rsid w:val="52B05992"/>
    <w:rsid w:val="53C33664"/>
    <w:rsid w:val="56506B0B"/>
    <w:rsid w:val="57FC3605"/>
    <w:rsid w:val="584462BE"/>
    <w:rsid w:val="5BDA0EE9"/>
    <w:rsid w:val="5F513866"/>
    <w:rsid w:val="5FF83C30"/>
    <w:rsid w:val="60F86C44"/>
    <w:rsid w:val="612B0DB6"/>
    <w:rsid w:val="636B3035"/>
    <w:rsid w:val="647551D5"/>
    <w:rsid w:val="6DA40A8A"/>
    <w:rsid w:val="6FEB7D9C"/>
    <w:rsid w:val="734F612D"/>
    <w:rsid w:val="736E5E6E"/>
    <w:rsid w:val="73D60EE8"/>
    <w:rsid w:val="74C01F6E"/>
    <w:rsid w:val="76A964E8"/>
    <w:rsid w:val="77B26485"/>
    <w:rsid w:val="782550D7"/>
    <w:rsid w:val="7B4D1F81"/>
    <w:rsid w:val="7C69063C"/>
    <w:rsid w:val="7EF92B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lock Text"/>
    <w:basedOn w:val="1"/>
    <w:qFormat/>
    <w:uiPriority w:val="99"/>
    <w:pPr>
      <w:spacing w:after="120"/>
      <w:ind w:left="1440" w:leftChars="700" w:right="700" w:rightChars="70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2021-02-18T13:19:00Z</dcterms:created>
  <dc:creator>kurting</dc:creator>
  <cp:lastModifiedBy>kurting</cp:lastModifiedBy>
  <dcterms:modified xsi:type="dcterms:W3CDTF">2021-03-30T07:49:22Z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27C84D07E73242259A56844D48E79B66</vt:lpwstr>
  </property>
</Properties>
</file>